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D16B05" w:rsidRPr="00A91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5A0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>передаче осуществления части полномочий по решению вопросов местного значения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>от органов местного самоуправления администрации Россошанского муниципального района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органам местного самоуправления администрации </w:t>
      </w:r>
      <w:r w:rsidR="00AE1AF4" w:rsidRPr="00AE1AF4">
        <w:rPr>
          <w:rFonts w:ascii="Times New Roman" w:hAnsi="Times New Roman" w:cs="Times New Roman"/>
          <w:bCs/>
          <w:sz w:val="26"/>
          <w:szCs w:val="26"/>
        </w:rPr>
        <w:t>Новокалитвенского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 xml:space="preserve">от 28.12.2020 </w:t>
      </w:r>
      <w:r w:rsidR="000E1C4C" w:rsidRPr="00AE1AF4">
        <w:rPr>
          <w:rFonts w:ascii="Times New Roman" w:hAnsi="Times New Roman" w:cs="Times New Roman"/>
          <w:bCs/>
          <w:sz w:val="26"/>
          <w:szCs w:val="26"/>
        </w:rPr>
        <w:t>г. №</w:t>
      </w:r>
      <w:r w:rsidR="007E5943" w:rsidRPr="00AE1A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C4C" w:rsidRPr="00AE1AF4">
        <w:rPr>
          <w:rFonts w:ascii="Times New Roman" w:hAnsi="Times New Roman" w:cs="Times New Roman"/>
          <w:bCs/>
          <w:sz w:val="26"/>
          <w:szCs w:val="26"/>
        </w:rPr>
        <w:t>1</w:t>
      </w:r>
      <w:r w:rsidR="00AE1AF4" w:rsidRPr="00AE1AF4">
        <w:rPr>
          <w:rFonts w:ascii="Times New Roman" w:hAnsi="Times New Roman" w:cs="Times New Roman"/>
          <w:bCs/>
          <w:sz w:val="26"/>
          <w:szCs w:val="26"/>
        </w:rPr>
        <w:t>1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0F4217" w:rsidRPr="00A91D51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6D66B4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65B2E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465B2E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7C55" w:rsidRPr="00A91D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="000325A0" w:rsidRPr="000325A0">
        <w:rPr>
          <w:rFonts w:ascii="Times New Roman" w:hAnsi="Times New Roman" w:cs="Times New Roman"/>
          <w:bCs/>
          <w:sz w:val="26"/>
          <w:szCs w:val="26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и администрация </w:t>
      </w:r>
      <w:r w:rsidR="00AE1AF4" w:rsidRPr="00AE1AF4">
        <w:rPr>
          <w:rFonts w:ascii="Times New Roman" w:hAnsi="Times New Roman" w:cs="Times New Roman"/>
          <w:bCs/>
          <w:sz w:val="26"/>
          <w:szCs w:val="26"/>
        </w:rPr>
        <w:t>Новокалитвенского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AE1AF4" w:rsidRPr="00AE1AF4">
        <w:rPr>
          <w:rFonts w:ascii="Times New Roman" w:hAnsi="Times New Roman" w:cs="Times New Roman"/>
          <w:bCs/>
          <w:sz w:val="26"/>
          <w:szCs w:val="26"/>
        </w:rPr>
        <w:t>Новокалитвенского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66B4" w:rsidRPr="006D66B4">
        <w:rPr>
          <w:rFonts w:ascii="Times New Roman" w:hAnsi="Times New Roman" w:cs="Times New Roman"/>
          <w:bCs/>
          <w:sz w:val="26"/>
          <w:szCs w:val="26"/>
        </w:rPr>
        <w:t>Заблоцкого Александра Ивановича</w:t>
      </w:r>
      <w:r w:rsidR="000325A0">
        <w:rPr>
          <w:rFonts w:ascii="Times New Roman" w:hAnsi="Times New Roman" w:cs="Times New Roman"/>
          <w:bCs/>
          <w:sz w:val="26"/>
          <w:szCs w:val="26"/>
        </w:rPr>
        <w:t>,</w:t>
      </w:r>
      <w:r w:rsidR="006D66B4" w:rsidRPr="006D66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66B4">
        <w:rPr>
          <w:rFonts w:ascii="Times New Roman" w:hAnsi="Times New Roman" w:cs="Times New Roman"/>
          <w:bCs/>
          <w:sz w:val="26"/>
          <w:szCs w:val="26"/>
        </w:rPr>
        <w:t>действующего</w:t>
      </w:r>
      <w:proofErr w:type="gramEnd"/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на основании Устава, с другой стороны, вместе именуемые «Стороны», заключили настоящее Дополнительное </w:t>
      </w:r>
      <w:r w:rsidR="000325A0">
        <w:rPr>
          <w:rFonts w:ascii="Times New Roman" w:hAnsi="Times New Roman" w:cs="Times New Roman"/>
          <w:bCs/>
          <w:sz w:val="26"/>
          <w:szCs w:val="26"/>
        </w:rPr>
        <w:t>с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28.12.2020 г</w:t>
      </w:r>
      <w:r w:rsidR="0031790D" w:rsidRPr="00AE1AF4">
        <w:rPr>
          <w:rFonts w:ascii="Times New Roman" w:hAnsi="Times New Roman" w:cs="Times New Roman"/>
          <w:bCs/>
          <w:sz w:val="26"/>
          <w:szCs w:val="26"/>
        </w:rPr>
        <w:t xml:space="preserve">. № </w:t>
      </w:r>
      <w:r w:rsidR="00AE1AF4" w:rsidRPr="00AE1AF4">
        <w:rPr>
          <w:rFonts w:ascii="Times New Roman" w:hAnsi="Times New Roman" w:cs="Times New Roman"/>
          <w:bCs/>
          <w:sz w:val="26"/>
          <w:szCs w:val="26"/>
        </w:rPr>
        <w:t>1</w:t>
      </w:r>
      <w:r w:rsidR="0031790D" w:rsidRPr="00AE1AF4">
        <w:rPr>
          <w:rFonts w:ascii="Times New Roman" w:hAnsi="Times New Roman" w:cs="Times New Roman"/>
          <w:bCs/>
          <w:sz w:val="26"/>
          <w:szCs w:val="26"/>
        </w:rPr>
        <w:t>1  «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AE1AF4" w:rsidRPr="00AE1AF4">
        <w:rPr>
          <w:rFonts w:ascii="Times New Roman" w:hAnsi="Times New Roman" w:cs="Times New Roman"/>
          <w:bCs/>
          <w:sz w:val="26"/>
          <w:szCs w:val="26"/>
        </w:rPr>
        <w:t>Новокалитвенского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</w:t>
      </w:r>
      <w:r w:rsidR="00383A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Соглашение) </w:t>
      </w:r>
      <w:r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A91D51">
        <w:rPr>
          <w:rFonts w:ascii="Times New Roman" w:hAnsi="Times New Roman" w:cs="Times New Roman"/>
          <w:sz w:val="26"/>
          <w:szCs w:val="26"/>
        </w:rPr>
        <w:t>202</w:t>
      </w:r>
      <w:r w:rsidR="00430535">
        <w:rPr>
          <w:rFonts w:ascii="Times New Roman" w:hAnsi="Times New Roman" w:cs="Times New Roman"/>
          <w:sz w:val="26"/>
          <w:szCs w:val="26"/>
        </w:rPr>
        <w:t>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AE1AF4" w:rsidRPr="00AE1AF4">
        <w:rPr>
          <w:rFonts w:ascii="Times New Roman" w:hAnsi="Times New Roman" w:cs="Times New Roman"/>
          <w:sz w:val="26"/>
          <w:szCs w:val="26"/>
        </w:rPr>
        <w:t>Новокалитвенского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 района</w:t>
      </w:r>
      <w:r w:rsidR="0031790D" w:rsidRPr="00A91D51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межбюджетных трансфертов в </w:t>
      </w:r>
      <w:r w:rsidR="00BA6DB7" w:rsidRPr="006D66B4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0325A0">
        <w:rPr>
          <w:rFonts w:ascii="Times New Roman" w:hAnsi="Times New Roman" w:cs="Times New Roman"/>
          <w:sz w:val="26"/>
          <w:szCs w:val="26"/>
        </w:rPr>
        <w:t>1 660</w:t>
      </w:r>
      <w:r w:rsidR="00F854AD" w:rsidRPr="006D66B4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6D66B4">
        <w:rPr>
          <w:rFonts w:ascii="Times New Roman" w:hAnsi="Times New Roman" w:cs="Times New Roman"/>
          <w:sz w:val="26"/>
          <w:szCs w:val="26"/>
        </w:rPr>
        <w:t>0 (</w:t>
      </w:r>
      <w:r w:rsidR="000325A0">
        <w:rPr>
          <w:rFonts w:ascii="Times New Roman" w:hAnsi="Times New Roman" w:cs="Times New Roman"/>
          <w:sz w:val="26"/>
          <w:szCs w:val="26"/>
        </w:rPr>
        <w:t>один миллион</w:t>
      </w:r>
      <w:r w:rsidR="006D66B4" w:rsidRPr="006D66B4">
        <w:rPr>
          <w:rFonts w:ascii="Times New Roman" w:hAnsi="Times New Roman" w:cs="Times New Roman"/>
          <w:sz w:val="26"/>
          <w:szCs w:val="26"/>
        </w:rPr>
        <w:t xml:space="preserve"> </w:t>
      </w:r>
      <w:r w:rsidR="000325A0">
        <w:rPr>
          <w:rFonts w:ascii="Times New Roman" w:hAnsi="Times New Roman" w:cs="Times New Roman"/>
          <w:sz w:val="26"/>
          <w:szCs w:val="26"/>
        </w:rPr>
        <w:t>шестьсот шестьдесят</w:t>
      </w:r>
      <w:r w:rsidR="00F854AD" w:rsidRPr="006D66B4">
        <w:rPr>
          <w:rFonts w:ascii="Times New Roman" w:hAnsi="Times New Roman" w:cs="Times New Roman"/>
          <w:sz w:val="26"/>
          <w:szCs w:val="26"/>
        </w:rPr>
        <w:t xml:space="preserve"> тысяч)</w:t>
      </w:r>
      <w:r w:rsidR="00BA6DB7" w:rsidRPr="006D66B4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proofErr w:type="gramStart"/>
      <w:r w:rsidR="00BA6DB7" w:rsidRPr="006D66B4">
        <w:rPr>
          <w:rFonts w:ascii="Times New Roman" w:hAnsi="Times New Roman" w:cs="Times New Roman"/>
          <w:sz w:val="26"/>
          <w:szCs w:val="26"/>
        </w:rPr>
        <w:t>.</w:t>
      </w:r>
      <w:r w:rsidRPr="006D66B4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0325A0" w:rsidRPr="00A91D51" w:rsidRDefault="000325A0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 Приложение к Соглашению изложить в</w:t>
      </w:r>
      <w:r w:rsidR="000325A0">
        <w:rPr>
          <w:rFonts w:ascii="Times New Roman" w:hAnsi="Times New Roman" w:cs="Times New Roman"/>
          <w:bCs/>
          <w:sz w:val="26"/>
          <w:szCs w:val="26"/>
        </w:rPr>
        <w:t xml:space="preserve"> новой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 редакции согласно приложению  к настоящему Дополнительному соглашению, которое является его неотъемлемой частью.</w:t>
      </w:r>
    </w:p>
    <w:p w:rsidR="000325A0" w:rsidRPr="00A91D51" w:rsidRDefault="000325A0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 xml:space="preserve">ьное </w:t>
      </w:r>
      <w:r w:rsidR="000325A0">
        <w:rPr>
          <w:rFonts w:ascii="Times New Roman" w:hAnsi="Times New Roman" w:cs="Times New Roman"/>
          <w:bCs/>
          <w:sz w:val="26"/>
          <w:szCs w:val="26"/>
        </w:rPr>
        <w:t>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0325A0" w:rsidRPr="00A91D51" w:rsidRDefault="000325A0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0325A0">
        <w:rPr>
          <w:rFonts w:ascii="Times New Roman" w:hAnsi="Times New Roman"/>
          <w:sz w:val="26"/>
          <w:szCs w:val="26"/>
        </w:rPr>
        <w:t xml:space="preserve"> 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0325A0" w:rsidRPr="00A91D51" w:rsidRDefault="000325A0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E1AF4" w:rsidRPr="00AE1AF4">
              <w:rPr>
                <w:rFonts w:ascii="Times New Roman" w:hAnsi="Times New Roman" w:cs="Times New Roman"/>
                <w:sz w:val="26"/>
                <w:szCs w:val="26"/>
              </w:rPr>
              <w:t>Новокалитвенского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D0072D" w:rsidRPr="00A91D51" w:rsidRDefault="00F34A1A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396635,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Россошанский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Новая Калитва,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Советский,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="00AE1AF4" w:rsidRPr="00AE1AF4">
              <w:rPr>
                <w:rFonts w:ascii="Times New Roman" w:hAnsi="Times New Roman" w:cs="Times New Roman"/>
                <w:sz w:val="26"/>
                <w:szCs w:val="26"/>
              </w:rPr>
              <w:t>Новокалитвенского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  <w:proofErr w:type="gramEnd"/>
          </w:p>
          <w:p w:rsidR="00F34A1A" w:rsidRPr="00F34A1A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ИНН/КПП  3627009760/362701001</w:t>
            </w:r>
          </w:p>
          <w:p w:rsidR="00F34A1A" w:rsidRPr="00F34A1A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азначейский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 xml:space="preserve">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 xml:space="preserve">03100643000000013100 </w:t>
            </w:r>
          </w:p>
          <w:p w:rsidR="00F34A1A" w:rsidRPr="00F34A1A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БАНКА РОССИИ//УФК по Воронежской области г. Воронеж</w:t>
            </w:r>
          </w:p>
          <w:p w:rsidR="00F34A1A" w:rsidRPr="00F34A1A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:rsidR="00F34A1A" w:rsidRPr="00F34A1A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F34A1A" w:rsidRPr="00F34A1A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F34A1A" w:rsidRPr="00F34A1A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ОКТМО 20647440</w:t>
            </w:r>
          </w:p>
          <w:p w:rsidR="002323A5" w:rsidRPr="00A91D51" w:rsidRDefault="00F34A1A" w:rsidP="00F34A1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34A1A">
              <w:rPr>
                <w:rFonts w:ascii="Times New Roman" w:hAnsi="Times New Roman" w:cs="Times New Roman"/>
                <w:sz w:val="26"/>
                <w:szCs w:val="26"/>
              </w:rPr>
              <w:t xml:space="preserve"> № 04313002770   </w:t>
            </w: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535" w:rsidRPr="00430535" w:rsidRDefault="00430535" w:rsidP="0043053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53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:rsidR="00430535" w:rsidRPr="00430535" w:rsidRDefault="00430535" w:rsidP="0043053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535" w:rsidRPr="00430535" w:rsidRDefault="00430535" w:rsidP="0043053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430535" w:rsidP="0043053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0535">
              <w:rPr>
                <w:rFonts w:ascii="Times New Roman" w:hAnsi="Times New Roman" w:cs="Times New Roman"/>
                <w:sz w:val="26"/>
                <w:szCs w:val="26"/>
              </w:rPr>
              <w:t>_______________/Ю.В. Мишанков/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E1AF4" w:rsidRPr="00AE1AF4">
              <w:rPr>
                <w:rFonts w:ascii="Times New Roman" w:hAnsi="Times New Roman" w:cs="Times New Roman"/>
                <w:sz w:val="26"/>
                <w:szCs w:val="26"/>
              </w:rPr>
              <w:t>Новокалитвенского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23A5" w:rsidRP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E1AF4">
              <w:t xml:space="preserve"> </w:t>
            </w:r>
            <w:r w:rsidR="00AE1AF4" w:rsidRPr="00AE1AF4">
              <w:rPr>
                <w:rFonts w:ascii="Times New Roman" w:hAnsi="Times New Roman" w:cs="Times New Roman"/>
                <w:sz w:val="26"/>
                <w:szCs w:val="26"/>
              </w:rPr>
              <w:t>А.И.</w:t>
            </w:r>
            <w:r w:rsidR="00AE1A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1AF4" w:rsidRPr="00AE1AF4">
              <w:rPr>
                <w:rFonts w:ascii="Times New Roman" w:hAnsi="Times New Roman" w:cs="Times New Roman"/>
                <w:sz w:val="26"/>
                <w:szCs w:val="26"/>
              </w:rPr>
              <w:t xml:space="preserve">Заблоцкий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Pr="00BB5F65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474DF7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833C7A">
        <w:rPr>
          <w:rFonts w:ascii="Times New Roman" w:eastAsia="Lucida Sans Unicode" w:hAnsi="Times New Roman"/>
          <w:sz w:val="24"/>
          <w:szCs w:val="24"/>
          <w:lang w:eastAsia="ru-RU"/>
        </w:rPr>
        <w:t xml:space="preserve">от </w:t>
      </w:r>
      <w:r w:rsidR="00524879">
        <w:rPr>
          <w:rFonts w:ascii="Times New Roman" w:hAnsi="Times New Roman"/>
          <w:bCs/>
          <w:sz w:val="26"/>
          <w:szCs w:val="26"/>
        </w:rPr>
        <w:t>«07» февраля 2024 г.</w:t>
      </w:r>
      <w:bookmarkStart w:id="0" w:name="_GoBack"/>
      <w:bookmarkEnd w:id="0"/>
      <w:r w:rsidR="00833C7A">
        <w:rPr>
          <w:rFonts w:ascii="Times New Roman" w:eastAsia="Lucida Sans Unicode" w:hAnsi="Times New Roman"/>
          <w:sz w:val="24"/>
          <w:szCs w:val="24"/>
          <w:lang w:eastAsia="ru-RU"/>
        </w:rPr>
        <w:t xml:space="preserve"> №3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833C7A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AE1AF4" w:rsidRPr="00AE1A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Новокалитвенского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  <w:proofErr w:type="gramEnd"/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</w:t>
      </w:r>
      <w:proofErr w:type="gramStart"/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</w:t>
      </w: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9595" w:type="dxa"/>
        <w:tblLook w:val="04A0" w:firstRow="1" w:lastRow="0" w:firstColumn="1" w:lastColumn="0" w:noHBand="0" w:noVBand="1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 w:firstRow="1" w:lastRow="1" w:firstColumn="1" w:lastColumn="1" w:noHBand="0" w:noVBand="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30535" w:rsidRPr="00430535" w:rsidRDefault="00430535" w:rsidP="0043053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05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администрации Россошанского муниципального района Воронежской области</w:t>
                  </w:r>
                </w:p>
                <w:p w:rsidR="00430535" w:rsidRPr="00430535" w:rsidRDefault="00430535" w:rsidP="0043053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30535" w:rsidRPr="00430535" w:rsidRDefault="00430535" w:rsidP="0043053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430535" w:rsidP="0043053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4305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_______________/Ю.В. Мишанков/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AE1AF4" w:rsidRPr="00AE1A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Новокалитвенского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="00AE1AF4">
                    <w:t xml:space="preserve"> </w:t>
                  </w:r>
                  <w:r w:rsidR="00AE1AF4" w:rsidRPr="00AE1A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А.И.</w:t>
                  </w:r>
                  <w:r w:rsidR="00AE1A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E1AF4" w:rsidRPr="00AE1A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Заблоцкий 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</w:t>
            </w:r>
            <w:r w:rsidR="00370380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4 224</w:t>
            </w:r>
            <w:proofErr w:type="gramStart"/>
            <w:r w:rsidR="00833C7A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proofErr w:type="gram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 w:rsidR="00370380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10 267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тыс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10 267,0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627,3</m:t>
                  </m:r>
                </m:den>
              </m:f>
            </m:oMath>
            <w:r w:rsidR="00AE1AF4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*1</w:t>
            </w:r>
            <w:r w:rsidR="00370380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AE1AF4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370380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,4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 w:rsidR="00370380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1 660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4E"/>
    <w:rsid w:val="000325A0"/>
    <w:rsid w:val="000536A0"/>
    <w:rsid w:val="00091EF6"/>
    <w:rsid w:val="000E1C4C"/>
    <w:rsid w:val="000F06F6"/>
    <w:rsid w:val="000F4217"/>
    <w:rsid w:val="00147C55"/>
    <w:rsid w:val="001C0A11"/>
    <w:rsid w:val="001C3E3E"/>
    <w:rsid w:val="001C4E91"/>
    <w:rsid w:val="001D4AF0"/>
    <w:rsid w:val="001D7237"/>
    <w:rsid w:val="001E35E1"/>
    <w:rsid w:val="002323A5"/>
    <w:rsid w:val="002A44E2"/>
    <w:rsid w:val="002D20E0"/>
    <w:rsid w:val="0031790D"/>
    <w:rsid w:val="00357727"/>
    <w:rsid w:val="00370380"/>
    <w:rsid w:val="00371D94"/>
    <w:rsid w:val="003736DE"/>
    <w:rsid w:val="00383A96"/>
    <w:rsid w:val="003A6F61"/>
    <w:rsid w:val="003E6E60"/>
    <w:rsid w:val="004010A3"/>
    <w:rsid w:val="00430535"/>
    <w:rsid w:val="00465B2E"/>
    <w:rsid w:val="00474DF7"/>
    <w:rsid w:val="004A701B"/>
    <w:rsid w:val="00524879"/>
    <w:rsid w:val="005434F8"/>
    <w:rsid w:val="00593D33"/>
    <w:rsid w:val="00623EF2"/>
    <w:rsid w:val="00682F5F"/>
    <w:rsid w:val="006C075B"/>
    <w:rsid w:val="006D2183"/>
    <w:rsid w:val="006D66B4"/>
    <w:rsid w:val="006E458F"/>
    <w:rsid w:val="00726B1C"/>
    <w:rsid w:val="007A1E4E"/>
    <w:rsid w:val="007E5943"/>
    <w:rsid w:val="007F0038"/>
    <w:rsid w:val="007F201D"/>
    <w:rsid w:val="0082632B"/>
    <w:rsid w:val="00833C7A"/>
    <w:rsid w:val="008678A4"/>
    <w:rsid w:val="0092686A"/>
    <w:rsid w:val="009B2362"/>
    <w:rsid w:val="00A91D51"/>
    <w:rsid w:val="00A92DC8"/>
    <w:rsid w:val="00AE1AF4"/>
    <w:rsid w:val="00B33420"/>
    <w:rsid w:val="00BA26F8"/>
    <w:rsid w:val="00BA6DB7"/>
    <w:rsid w:val="00BB5F65"/>
    <w:rsid w:val="00C04748"/>
    <w:rsid w:val="00C22580"/>
    <w:rsid w:val="00C668EF"/>
    <w:rsid w:val="00D0072D"/>
    <w:rsid w:val="00D052E2"/>
    <w:rsid w:val="00D16B05"/>
    <w:rsid w:val="00D35859"/>
    <w:rsid w:val="00DD2FED"/>
    <w:rsid w:val="00E237AE"/>
    <w:rsid w:val="00F04876"/>
    <w:rsid w:val="00F34A1A"/>
    <w:rsid w:val="00F854AD"/>
    <w:rsid w:val="00F85597"/>
    <w:rsid w:val="00FB1FE5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122</cp:revision>
  <cp:lastPrinted>2021-10-05T07:17:00Z</cp:lastPrinted>
  <dcterms:created xsi:type="dcterms:W3CDTF">2021-12-22T04:56:00Z</dcterms:created>
  <dcterms:modified xsi:type="dcterms:W3CDTF">2024-02-10T08:31:00Z</dcterms:modified>
</cp:coreProperties>
</file>